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739" w:rsidRPr="00115739" w:rsidRDefault="00115739" w:rsidP="00C6648A">
      <w:pPr>
        <w:spacing w:beforeLines="50" w:before="180"/>
        <w:ind w:leftChars="1" w:left="242" w:hangingChars="75" w:hanging="240"/>
        <w:jc w:val="center"/>
        <w:rPr>
          <w:b/>
          <w:lang w:eastAsia="zh-TW"/>
        </w:rPr>
      </w:pPr>
      <w:r w:rsidRPr="00115739">
        <w:rPr>
          <w:rFonts w:hint="eastAsia"/>
          <w:b/>
          <w:sz w:val="32"/>
          <w:szCs w:val="32"/>
        </w:rPr>
        <w:t>環球晶圓股份有限公司</w:t>
      </w:r>
    </w:p>
    <w:p w:rsidR="00B45E03" w:rsidRPr="007C2E2E" w:rsidRDefault="00465D51" w:rsidP="000D7C70">
      <w:pPr>
        <w:ind w:leftChars="1" w:left="212" w:hangingChars="75" w:hanging="210"/>
        <w:rPr>
          <w:sz w:val="28"/>
          <w:u w:val="single"/>
        </w:rPr>
      </w:pPr>
      <w:r>
        <w:rPr>
          <w:rFonts w:hint="eastAsia"/>
          <w:sz w:val="28"/>
          <w:u w:val="single"/>
          <w:lang w:eastAsia="zh-TW"/>
        </w:rPr>
        <w:t>風險管理</w:t>
      </w:r>
      <w:r w:rsidR="00C6648A">
        <w:rPr>
          <w:rFonts w:hint="eastAsia"/>
          <w:sz w:val="28"/>
          <w:u w:val="single"/>
          <w:lang w:eastAsia="zh-TW"/>
        </w:rPr>
        <w:t>組織架構與</w:t>
      </w:r>
      <w:r w:rsidR="00B45E03" w:rsidRPr="007C2E2E">
        <w:rPr>
          <w:rFonts w:hint="eastAsia"/>
          <w:sz w:val="28"/>
          <w:u w:val="single"/>
        </w:rPr>
        <w:t>運作情形</w:t>
      </w:r>
      <w:r w:rsidR="007C2E2E">
        <w:rPr>
          <w:rFonts w:hint="eastAsia"/>
          <w:sz w:val="28"/>
          <w:u w:val="single"/>
          <w:lang w:eastAsia="zh-TW"/>
        </w:rPr>
        <w:t>：</w:t>
      </w:r>
    </w:p>
    <w:p w:rsidR="007C4AD4" w:rsidRDefault="007C4AD4" w:rsidP="007C4AD4">
      <w:pPr>
        <w:autoSpaceDE w:val="0"/>
        <w:autoSpaceDN w:val="0"/>
        <w:adjustRightInd w:val="0"/>
        <w:rPr>
          <w:rFonts w:asciiTheme="minorEastAsia" w:hAnsiTheme="minorEastAsia" w:cs="NotoSansCJKtc-Light"/>
          <w:color w:val="000000"/>
          <w:kern w:val="0"/>
          <w:sz w:val="20"/>
          <w:szCs w:val="20"/>
          <w:lang w:eastAsia="zh-TW"/>
        </w:rPr>
      </w:pPr>
    </w:p>
    <w:p w:rsidR="007C4AD4" w:rsidRPr="007C4AD4" w:rsidRDefault="007C4AD4" w:rsidP="007C4AD4">
      <w:pPr>
        <w:pStyle w:val="a8"/>
        <w:numPr>
          <w:ilvl w:val="0"/>
          <w:numId w:val="7"/>
        </w:numPr>
        <w:spacing w:line="300" w:lineRule="exact"/>
        <w:ind w:leftChars="0"/>
        <w:rPr>
          <w:b/>
          <w:szCs w:val="32"/>
          <w:lang w:eastAsia="zh-TW"/>
        </w:rPr>
      </w:pPr>
      <w:r w:rsidRPr="007C4AD4">
        <w:rPr>
          <w:rFonts w:hint="eastAsia"/>
          <w:b/>
          <w:szCs w:val="32"/>
          <w:lang w:eastAsia="zh-TW"/>
        </w:rPr>
        <w:t>風險管理政策與程序</w:t>
      </w:r>
    </w:p>
    <w:p w:rsidR="007C4AD4" w:rsidRPr="002A41F3" w:rsidRDefault="007C4AD4" w:rsidP="00542DAB">
      <w:pPr>
        <w:autoSpaceDE w:val="0"/>
        <w:autoSpaceDN w:val="0"/>
        <w:adjustRightInd w:val="0"/>
        <w:jc w:val="both"/>
        <w:rPr>
          <w:color w:val="000000"/>
          <w:kern w:val="0"/>
          <w:szCs w:val="20"/>
        </w:rPr>
      </w:pPr>
      <w:r w:rsidRPr="002A41F3">
        <w:rPr>
          <w:rFonts w:hAnsiTheme="minorEastAsia"/>
          <w:color w:val="000000"/>
          <w:kern w:val="0"/>
          <w:szCs w:val="20"/>
        </w:rPr>
        <w:t>為因應快速變化的經營環境，以確保公司穩健經營與永續發展，</w:t>
      </w:r>
      <w:r w:rsidR="002A41F3" w:rsidRPr="002A41F3">
        <w:rPr>
          <w:rFonts w:hAnsiTheme="minorEastAsia"/>
          <w:color w:val="000000"/>
          <w:kern w:val="0"/>
          <w:szCs w:val="20"/>
          <w:lang w:eastAsia="zh-TW"/>
        </w:rPr>
        <w:t>本公司</w:t>
      </w:r>
      <w:r w:rsidRPr="002A41F3">
        <w:rPr>
          <w:rFonts w:hAnsiTheme="minorEastAsia"/>
          <w:color w:val="000000"/>
          <w:kern w:val="0"/>
          <w:szCs w:val="20"/>
        </w:rPr>
        <w:t>於</w:t>
      </w:r>
      <w:r w:rsidRPr="002A41F3">
        <w:rPr>
          <w:color w:val="000000"/>
          <w:kern w:val="0"/>
          <w:szCs w:val="20"/>
        </w:rPr>
        <w:t>2</w:t>
      </w:r>
      <w:r w:rsidR="00542DAB">
        <w:rPr>
          <w:rFonts w:hint="eastAsia"/>
          <w:color w:val="000000"/>
          <w:kern w:val="0"/>
          <w:szCs w:val="20"/>
          <w:lang w:eastAsia="zh-TW"/>
        </w:rPr>
        <w:t>021</w:t>
      </w:r>
      <w:r w:rsidRPr="002A41F3">
        <w:rPr>
          <w:rFonts w:hAnsiTheme="minorEastAsia"/>
          <w:color w:val="000000"/>
          <w:kern w:val="0"/>
          <w:szCs w:val="20"/>
        </w:rPr>
        <w:t>年制定</w:t>
      </w:r>
      <w:r w:rsidR="002A41F3">
        <w:rPr>
          <w:rFonts w:hAnsiTheme="minorEastAsia" w:hint="eastAsia"/>
          <w:color w:val="000000"/>
          <w:kern w:val="0"/>
          <w:szCs w:val="20"/>
          <w:lang w:eastAsia="zh-TW"/>
        </w:rPr>
        <w:t>「</w:t>
      </w:r>
      <w:r w:rsidRPr="002A41F3">
        <w:rPr>
          <w:rFonts w:hAnsiTheme="minorEastAsia"/>
          <w:color w:val="000000"/>
          <w:kern w:val="0"/>
          <w:szCs w:val="20"/>
        </w:rPr>
        <w:t>風險管理政策與</w:t>
      </w:r>
      <w:r w:rsidR="00542DAB">
        <w:rPr>
          <w:rFonts w:hAnsiTheme="minorEastAsia" w:hint="eastAsia"/>
          <w:color w:val="000000"/>
          <w:kern w:val="0"/>
          <w:szCs w:val="20"/>
          <w:lang w:eastAsia="zh-TW"/>
        </w:rPr>
        <w:t>程序</w:t>
      </w:r>
      <w:r w:rsidR="002A41F3">
        <w:rPr>
          <w:rFonts w:hAnsiTheme="minorEastAsia" w:hint="eastAsia"/>
          <w:color w:val="000000"/>
          <w:kern w:val="0"/>
          <w:szCs w:val="20"/>
          <w:lang w:eastAsia="zh-TW"/>
        </w:rPr>
        <w:t>」</w:t>
      </w:r>
      <w:r w:rsidRPr="002A41F3">
        <w:rPr>
          <w:rFonts w:hAnsiTheme="minorEastAsia"/>
          <w:color w:val="000000"/>
          <w:kern w:val="0"/>
          <w:szCs w:val="20"/>
        </w:rPr>
        <w:t>，明訂風險管理制度的三大目標：</w:t>
      </w:r>
    </w:p>
    <w:p w:rsidR="007C4AD4" w:rsidRPr="002A41F3" w:rsidRDefault="007C4AD4" w:rsidP="007C4AD4">
      <w:pPr>
        <w:autoSpaceDE w:val="0"/>
        <w:autoSpaceDN w:val="0"/>
        <w:adjustRightInd w:val="0"/>
        <w:rPr>
          <w:color w:val="000000"/>
          <w:kern w:val="0"/>
          <w:szCs w:val="20"/>
        </w:rPr>
      </w:pPr>
      <w:r w:rsidRPr="002A41F3">
        <w:rPr>
          <w:rFonts w:hAnsiTheme="minorEastAsia"/>
          <w:color w:val="000000"/>
          <w:kern w:val="0"/>
          <w:szCs w:val="20"/>
        </w:rPr>
        <w:t>◎</w:t>
      </w:r>
      <w:r w:rsidRPr="002A41F3">
        <w:rPr>
          <w:rFonts w:hAnsiTheme="minorEastAsia"/>
          <w:color w:val="000000"/>
          <w:kern w:val="0"/>
          <w:szCs w:val="20"/>
        </w:rPr>
        <w:t>在可接受的風險水準下，積極從事各項業務，提升收入之質與量。</w:t>
      </w:r>
    </w:p>
    <w:p w:rsidR="007C4AD4" w:rsidRPr="002A41F3" w:rsidRDefault="007C4AD4" w:rsidP="007C4AD4">
      <w:pPr>
        <w:autoSpaceDE w:val="0"/>
        <w:autoSpaceDN w:val="0"/>
        <w:adjustRightInd w:val="0"/>
        <w:rPr>
          <w:color w:val="000000"/>
          <w:kern w:val="0"/>
          <w:szCs w:val="20"/>
        </w:rPr>
      </w:pPr>
      <w:r w:rsidRPr="002A41F3">
        <w:rPr>
          <w:rFonts w:hAnsiTheme="minorEastAsia"/>
          <w:color w:val="000000"/>
          <w:kern w:val="0"/>
          <w:szCs w:val="20"/>
        </w:rPr>
        <w:t>◎</w:t>
      </w:r>
      <w:r w:rsidRPr="002A41F3">
        <w:rPr>
          <w:rFonts w:hAnsiTheme="minorEastAsia"/>
          <w:color w:val="000000"/>
          <w:kern w:val="0"/>
          <w:szCs w:val="20"/>
        </w:rPr>
        <w:t>加強風險控管之廣度與深度，必要時應對例行性及重要原則予以負面表列。</w:t>
      </w:r>
    </w:p>
    <w:p w:rsidR="007C4AD4" w:rsidRPr="002A41F3" w:rsidRDefault="007C4AD4" w:rsidP="007C4AD4">
      <w:pPr>
        <w:autoSpaceDE w:val="0"/>
        <w:autoSpaceDN w:val="0"/>
        <w:adjustRightInd w:val="0"/>
        <w:rPr>
          <w:color w:val="000000"/>
          <w:kern w:val="0"/>
          <w:szCs w:val="20"/>
        </w:rPr>
      </w:pPr>
      <w:r w:rsidRPr="002A41F3">
        <w:rPr>
          <w:rFonts w:hAnsiTheme="minorEastAsia"/>
          <w:color w:val="000000"/>
          <w:kern w:val="0"/>
          <w:szCs w:val="20"/>
        </w:rPr>
        <w:t>◎</w:t>
      </w:r>
      <w:r w:rsidRPr="002A41F3">
        <w:rPr>
          <w:rFonts w:hAnsiTheme="minorEastAsia"/>
          <w:color w:val="000000"/>
          <w:kern w:val="0"/>
          <w:szCs w:val="20"/>
        </w:rPr>
        <w:t>為確保對風險控管之遵循，力行制度化、電腦化及紀律化。</w:t>
      </w:r>
    </w:p>
    <w:p w:rsidR="002A41F3" w:rsidRDefault="002A41F3" w:rsidP="007C4AD4">
      <w:pPr>
        <w:autoSpaceDE w:val="0"/>
        <w:autoSpaceDN w:val="0"/>
        <w:adjustRightInd w:val="0"/>
        <w:rPr>
          <w:rFonts w:hAnsiTheme="minorEastAsia"/>
          <w:color w:val="000000"/>
          <w:kern w:val="0"/>
          <w:szCs w:val="20"/>
          <w:lang w:eastAsia="zh-TW"/>
        </w:rPr>
      </w:pPr>
    </w:p>
    <w:p w:rsidR="007C4AD4" w:rsidRDefault="00BC1961" w:rsidP="007C4AD4">
      <w:pPr>
        <w:autoSpaceDE w:val="0"/>
        <w:autoSpaceDN w:val="0"/>
        <w:adjustRightInd w:val="0"/>
        <w:rPr>
          <w:rFonts w:hAnsiTheme="minorEastAsia"/>
          <w:color w:val="000000"/>
          <w:kern w:val="0"/>
          <w:szCs w:val="20"/>
          <w:lang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CBBD3F">
            <wp:simplePos x="0" y="0"/>
            <wp:positionH relativeFrom="margin">
              <wp:posOffset>-1270</wp:posOffset>
            </wp:positionH>
            <wp:positionV relativeFrom="paragraph">
              <wp:posOffset>666369</wp:posOffset>
            </wp:positionV>
            <wp:extent cx="5274310" cy="1243330"/>
            <wp:effectExtent l="0" t="0" r="254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017">
        <w:rPr>
          <w:rFonts w:hAnsiTheme="minorEastAsia" w:hint="eastAsia"/>
          <w:color w:val="000000"/>
          <w:kern w:val="0"/>
          <w:szCs w:val="20"/>
          <w:lang w:eastAsia="zh-TW"/>
        </w:rPr>
        <w:t>本公司</w:t>
      </w:r>
      <w:r w:rsidR="007C4AD4" w:rsidRPr="002A41F3">
        <w:rPr>
          <w:rFonts w:hAnsiTheme="minorEastAsia"/>
          <w:color w:val="000000"/>
          <w:kern w:val="0"/>
          <w:szCs w:val="20"/>
        </w:rPr>
        <w:t>風險管理流程包括風險辨識、風險衡量、風險監控、風險報告與揭露、風險之回應。透過此一風險管理流程之有效執行以落實公司之風險管理策略。</w:t>
      </w:r>
    </w:p>
    <w:p w:rsidR="00BE06DD" w:rsidRPr="002A41F3" w:rsidRDefault="00BE06DD" w:rsidP="007C4AD4">
      <w:pPr>
        <w:autoSpaceDE w:val="0"/>
        <w:autoSpaceDN w:val="0"/>
        <w:adjustRightInd w:val="0"/>
        <w:rPr>
          <w:color w:val="000000"/>
          <w:kern w:val="0"/>
          <w:szCs w:val="20"/>
          <w:lang w:eastAsia="zh-TW"/>
        </w:rPr>
      </w:pPr>
      <w:bookmarkStart w:id="0" w:name="_GoBack"/>
      <w:bookmarkEnd w:id="0"/>
    </w:p>
    <w:p w:rsidR="007C4AD4" w:rsidRDefault="007C4AD4" w:rsidP="00BC1961">
      <w:pPr>
        <w:autoSpaceDE w:val="0"/>
        <w:autoSpaceDN w:val="0"/>
        <w:adjustRightInd w:val="0"/>
        <w:rPr>
          <w:lang w:eastAsia="zh-TW"/>
        </w:rPr>
      </w:pPr>
    </w:p>
    <w:p w:rsidR="00BE06DD" w:rsidRDefault="00BE06DD" w:rsidP="002A41F3">
      <w:pPr>
        <w:autoSpaceDE w:val="0"/>
        <w:autoSpaceDN w:val="0"/>
        <w:adjustRightInd w:val="0"/>
        <w:jc w:val="center"/>
        <w:rPr>
          <w:lang w:eastAsia="zh-TW"/>
        </w:rPr>
      </w:pPr>
    </w:p>
    <w:p w:rsidR="00BE06DD" w:rsidRPr="00BE06DD" w:rsidRDefault="002A41F3" w:rsidP="00BE06DD">
      <w:pPr>
        <w:pStyle w:val="a8"/>
        <w:numPr>
          <w:ilvl w:val="0"/>
          <w:numId w:val="7"/>
        </w:numPr>
        <w:spacing w:line="300" w:lineRule="exact"/>
        <w:ind w:leftChars="0"/>
        <w:rPr>
          <w:b/>
          <w:szCs w:val="32"/>
          <w:lang w:eastAsia="zh-TW"/>
        </w:rPr>
      </w:pPr>
      <w:r w:rsidRPr="007C4AD4">
        <w:rPr>
          <w:rFonts w:hint="eastAsia"/>
          <w:b/>
          <w:szCs w:val="32"/>
          <w:lang w:eastAsia="zh-TW"/>
        </w:rPr>
        <w:t>風險管理</w:t>
      </w:r>
      <w:r w:rsidR="008D785B">
        <w:rPr>
          <w:rFonts w:hint="eastAsia"/>
          <w:b/>
          <w:szCs w:val="32"/>
          <w:lang w:eastAsia="zh-TW"/>
        </w:rPr>
        <w:t>範疇</w:t>
      </w:r>
      <w:r w:rsidRPr="007C4AD4">
        <w:rPr>
          <w:rFonts w:hint="eastAsia"/>
          <w:b/>
          <w:szCs w:val="32"/>
          <w:lang w:eastAsia="zh-TW"/>
        </w:rPr>
        <w:t>與</w:t>
      </w:r>
      <w:r w:rsidR="008D785B">
        <w:rPr>
          <w:rFonts w:hint="eastAsia"/>
          <w:b/>
          <w:szCs w:val="32"/>
          <w:lang w:eastAsia="zh-TW"/>
        </w:rPr>
        <w:t>組織架構</w:t>
      </w:r>
    </w:p>
    <w:p w:rsidR="00EC4D24" w:rsidRDefault="000D3F87" w:rsidP="00BE06DD">
      <w:pPr>
        <w:autoSpaceDE w:val="0"/>
        <w:autoSpaceDN w:val="0"/>
        <w:adjustRightInd w:val="0"/>
        <w:rPr>
          <w:rFonts w:hAnsiTheme="minorEastAsia"/>
          <w:color w:val="000000"/>
          <w:kern w:val="0"/>
          <w:szCs w:val="20"/>
          <w:lang w:eastAsia="zh-TW"/>
        </w:rPr>
      </w:pPr>
      <w:r>
        <w:rPr>
          <w:rFonts w:hAnsiTheme="minorEastAsia" w:hint="eastAsia"/>
          <w:color w:val="000000"/>
          <w:kern w:val="0"/>
          <w:szCs w:val="20"/>
          <w:lang w:eastAsia="zh-TW"/>
        </w:rPr>
        <w:t xml:space="preserve">     </w:t>
      </w:r>
      <w:r w:rsidR="00EC4D24">
        <w:rPr>
          <w:rFonts w:hAnsiTheme="minorEastAsia" w:hint="eastAsia"/>
          <w:color w:val="000000"/>
          <w:kern w:val="0"/>
          <w:szCs w:val="20"/>
          <w:lang w:eastAsia="zh-TW"/>
        </w:rPr>
        <w:t>本</w:t>
      </w:r>
      <w:r w:rsidR="00EC4D24" w:rsidRPr="00EC4D24">
        <w:rPr>
          <w:rFonts w:hAnsiTheme="minorEastAsia" w:hint="eastAsia"/>
          <w:color w:val="000000"/>
          <w:kern w:val="0"/>
          <w:szCs w:val="20"/>
          <w:lang w:eastAsia="zh-TW"/>
        </w:rPr>
        <w:t>公司</w:t>
      </w:r>
      <w:r w:rsidR="00EC4D24">
        <w:rPr>
          <w:rFonts w:hAnsiTheme="minorEastAsia" w:hint="eastAsia"/>
          <w:color w:val="000000"/>
          <w:kern w:val="0"/>
          <w:szCs w:val="20"/>
          <w:lang w:eastAsia="zh-TW"/>
        </w:rPr>
        <w:t>將</w:t>
      </w:r>
      <w:r w:rsidR="00EC4D24" w:rsidRPr="00EC4D24">
        <w:rPr>
          <w:rFonts w:hAnsiTheme="minorEastAsia" w:hint="eastAsia"/>
          <w:color w:val="000000"/>
          <w:kern w:val="0"/>
          <w:szCs w:val="20"/>
          <w:lang w:eastAsia="zh-TW"/>
        </w:rPr>
        <w:t>所面臨的風險</w:t>
      </w:r>
      <w:r w:rsidR="00EC4D24">
        <w:rPr>
          <w:rFonts w:hAnsiTheme="minorEastAsia" w:hint="eastAsia"/>
          <w:color w:val="000000"/>
          <w:kern w:val="0"/>
          <w:szCs w:val="20"/>
          <w:lang w:eastAsia="zh-TW"/>
        </w:rPr>
        <w:t>概</w:t>
      </w:r>
      <w:r w:rsidR="00EC4D24" w:rsidRPr="00EC4D24">
        <w:rPr>
          <w:rFonts w:hAnsiTheme="minorEastAsia" w:hint="eastAsia"/>
          <w:color w:val="000000"/>
          <w:kern w:val="0"/>
          <w:szCs w:val="20"/>
          <w:lang w:eastAsia="zh-TW"/>
        </w:rPr>
        <w:t>分為</w:t>
      </w:r>
      <w:r w:rsidR="00542DAB">
        <w:rPr>
          <w:rFonts w:hAnsiTheme="minorEastAsia" w:hint="eastAsia"/>
          <w:color w:val="000000"/>
          <w:kern w:val="0"/>
          <w:szCs w:val="20"/>
          <w:lang w:eastAsia="zh-TW"/>
        </w:rPr>
        <w:t>七</w:t>
      </w:r>
      <w:r w:rsidR="00EC4D24" w:rsidRPr="00EC4D24">
        <w:rPr>
          <w:rFonts w:hAnsiTheme="minorEastAsia" w:hint="eastAsia"/>
          <w:color w:val="000000"/>
          <w:kern w:val="0"/>
          <w:szCs w:val="20"/>
          <w:lang w:eastAsia="zh-TW"/>
        </w:rPr>
        <w:t>大類，分別如下所述：</w:t>
      </w:r>
    </w:p>
    <w:tbl>
      <w:tblPr>
        <w:tblStyle w:val="aa"/>
        <w:tblW w:w="8108" w:type="dxa"/>
        <w:jc w:val="center"/>
        <w:tblLook w:val="01E0" w:firstRow="1" w:lastRow="1" w:firstColumn="1" w:lastColumn="1" w:noHBand="0" w:noVBand="0"/>
      </w:tblPr>
      <w:tblGrid>
        <w:gridCol w:w="1497"/>
        <w:gridCol w:w="6611"/>
      </w:tblGrid>
      <w:tr w:rsidR="00EC4D24" w:rsidRPr="00077C33" w:rsidTr="00AA4C0E">
        <w:trPr>
          <w:jc w:val="center"/>
        </w:trPr>
        <w:tc>
          <w:tcPr>
            <w:tcW w:w="1497" w:type="dxa"/>
          </w:tcPr>
          <w:p w:rsidR="00EC4D24" w:rsidRPr="00077C33" w:rsidRDefault="00EC4D24" w:rsidP="00B9346B">
            <w:pPr>
              <w:autoSpaceDE w:val="0"/>
              <w:autoSpaceDN w:val="0"/>
              <w:adjustRightInd w:val="0"/>
              <w:jc w:val="both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077C33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 xml:space="preserve">風險類型    </w:t>
            </w:r>
          </w:p>
        </w:tc>
        <w:tc>
          <w:tcPr>
            <w:tcW w:w="6611" w:type="dxa"/>
          </w:tcPr>
          <w:p w:rsidR="00EC4D24" w:rsidRPr="00077C33" w:rsidRDefault="00EC4D24" w:rsidP="00B9346B">
            <w:pPr>
              <w:autoSpaceDE w:val="0"/>
              <w:autoSpaceDN w:val="0"/>
              <w:adjustRightInd w:val="0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077C33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風險細項</w:t>
            </w:r>
          </w:p>
        </w:tc>
      </w:tr>
      <w:tr w:rsidR="00EC4D24" w:rsidRPr="00077C33" w:rsidTr="00AA4C0E">
        <w:trPr>
          <w:jc w:val="center"/>
        </w:trPr>
        <w:tc>
          <w:tcPr>
            <w:tcW w:w="1497" w:type="dxa"/>
          </w:tcPr>
          <w:p w:rsidR="00EC4D24" w:rsidRPr="00077C33" w:rsidRDefault="00EC4D24" w:rsidP="00B9346B">
            <w:pPr>
              <w:autoSpaceDE w:val="0"/>
              <w:autoSpaceDN w:val="0"/>
              <w:adjustRightInd w:val="0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077C33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危害風險</w:t>
            </w:r>
          </w:p>
        </w:tc>
        <w:tc>
          <w:tcPr>
            <w:tcW w:w="6611" w:type="dxa"/>
          </w:tcPr>
          <w:p w:rsidR="00EC4D24" w:rsidRPr="00077C33" w:rsidRDefault="00542DAB" w:rsidP="00542DAB">
            <w:pPr>
              <w:autoSpaceDE w:val="0"/>
              <w:autoSpaceDN w:val="0"/>
              <w:adjustRightInd w:val="0"/>
              <w:spacing w:line="360" w:lineRule="exact"/>
              <w:ind w:firstLine="2"/>
              <w:jc w:val="both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542DAB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係指重大天然或人為災害事件 (如颱風、地震、火災或化學品洩漏及流行性傳染病等</w:t>
            </w:r>
            <w:r w:rsidRPr="00542DAB">
              <w:rPr>
                <w:rFonts w:ascii="標楷體" w:hAnsi="標楷體" w:cs="TT61975E41tCID-WinCharSetFFFF-H"/>
                <w:color w:val="000000" w:themeColor="text1"/>
                <w:sz w:val="24"/>
              </w:rPr>
              <w:t>)</w:t>
            </w:r>
            <w:r w:rsidRPr="00542DAB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發生造成公司損失之風險。</w:t>
            </w:r>
          </w:p>
        </w:tc>
      </w:tr>
      <w:tr w:rsidR="00EC4D24" w:rsidRPr="00077C33" w:rsidTr="00AA4C0E">
        <w:trPr>
          <w:jc w:val="center"/>
        </w:trPr>
        <w:tc>
          <w:tcPr>
            <w:tcW w:w="1497" w:type="dxa"/>
          </w:tcPr>
          <w:p w:rsidR="00EC4D24" w:rsidRPr="00077C33" w:rsidRDefault="00EC4D24" w:rsidP="00B9346B">
            <w:pPr>
              <w:autoSpaceDE w:val="0"/>
              <w:autoSpaceDN w:val="0"/>
              <w:adjustRightInd w:val="0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077C33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營運風險</w:t>
            </w:r>
          </w:p>
        </w:tc>
        <w:tc>
          <w:tcPr>
            <w:tcW w:w="6611" w:type="dxa"/>
          </w:tcPr>
          <w:p w:rsidR="00EC4D24" w:rsidRPr="00077C33" w:rsidRDefault="00542DAB" w:rsidP="00542DAB">
            <w:pPr>
              <w:autoSpaceDE w:val="0"/>
              <w:autoSpaceDN w:val="0"/>
              <w:adjustRightInd w:val="0"/>
              <w:jc w:val="both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542DAB">
              <w:rPr>
                <w:rFonts w:ascii="標楷體" w:hAnsi="標楷體" w:cs="TT61975E41tCID-WinCharSetFFFF-H"/>
                <w:color w:val="000000" w:themeColor="text1"/>
                <w:sz w:val="24"/>
              </w:rPr>
              <w:t>係指公司生產經營過程中不確定性因素影響公司正常營運之風 險，如銷貨/採購過於集中、供應鏈管理、智慧財產權保護、資 訊安全、招募及留任人才、職業安全衛生、企業形象之塑造與維護等風險。</w:t>
            </w:r>
          </w:p>
        </w:tc>
      </w:tr>
      <w:tr w:rsidR="00EC4D24" w:rsidRPr="00077C33" w:rsidTr="00AA4C0E">
        <w:trPr>
          <w:jc w:val="center"/>
        </w:trPr>
        <w:tc>
          <w:tcPr>
            <w:tcW w:w="1497" w:type="dxa"/>
          </w:tcPr>
          <w:p w:rsidR="00EC4D24" w:rsidRPr="00077C33" w:rsidRDefault="00EC4D24" w:rsidP="00B9346B">
            <w:pPr>
              <w:autoSpaceDE w:val="0"/>
              <w:autoSpaceDN w:val="0"/>
              <w:adjustRightInd w:val="0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077C33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財務風險</w:t>
            </w:r>
          </w:p>
        </w:tc>
        <w:tc>
          <w:tcPr>
            <w:tcW w:w="6611" w:type="dxa"/>
          </w:tcPr>
          <w:p w:rsidR="00EC4D24" w:rsidRPr="00077C33" w:rsidRDefault="00542DAB" w:rsidP="00542DAB">
            <w:pPr>
              <w:autoSpaceDE w:val="0"/>
              <w:autoSpaceDN w:val="0"/>
              <w:adjustRightInd w:val="0"/>
              <w:jc w:val="both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542DAB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係指信用風險、市場風險、流動性風險、作業風險、投資風險等。</w:t>
            </w:r>
          </w:p>
        </w:tc>
      </w:tr>
      <w:tr w:rsidR="00EC4D24" w:rsidRPr="00077C33" w:rsidTr="00AA4C0E">
        <w:trPr>
          <w:jc w:val="center"/>
        </w:trPr>
        <w:tc>
          <w:tcPr>
            <w:tcW w:w="1497" w:type="dxa"/>
          </w:tcPr>
          <w:p w:rsidR="00EC4D24" w:rsidRPr="00077C33" w:rsidRDefault="00EC4D24" w:rsidP="00B9346B">
            <w:pPr>
              <w:autoSpaceDE w:val="0"/>
              <w:autoSpaceDN w:val="0"/>
              <w:adjustRightInd w:val="0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077C33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策略風險</w:t>
            </w:r>
          </w:p>
        </w:tc>
        <w:tc>
          <w:tcPr>
            <w:tcW w:w="6611" w:type="dxa"/>
          </w:tcPr>
          <w:p w:rsidR="00EC4D24" w:rsidRPr="00077C33" w:rsidRDefault="00542DAB" w:rsidP="00542DAB">
            <w:pPr>
              <w:autoSpaceDE w:val="0"/>
              <w:autoSpaceDN w:val="0"/>
              <w:adjustRightInd w:val="0"/>
              <w:spacing w:line="360" w:lineRule="exact"/>
              <w:ind w:firstLine="2"/>
              <w:jc w:val="both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542DAB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係指因經營策略而產生損失之風險，包括單一地區過度集中、客戶過度集中、產品線影響、產業競爭、企業併購等。</w:t>
            </w:r>
          </w:p>
        </w:tc>
      </w:tr>
      <w:tr w:rsidR="00EC4D24" w:rsidRPr="00077C33" w:rsidTr="00AA4C0E">
        <w:trPr>
          <w:jc w:val="center"/>
        </w:trPr>
        <w:tc>
          <w:tcPr>
            <w:tcW w:w="1497" w:type="dxa"/>
          </w:tcPr>
          <w:p w:rsidR="00EC4D24" w:rsidRDefault="00EC4D24" w:rsidP="00B9346B">
            <w:pPr>
              <w:autoSpaceDE w:val="0"/>
              <w:autoSpaceDN w:val="0"/>
              <w:adjustRightInd w:val="0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合規風險/</w:t>
            </w:r>
          </w:p>
          <w:p w:rsidR="00EC4D24" w:rsidRPr="00077C33" w:rsidRDefault="00EC4D24" w:rsidP="00B9346B">
            <w:pPr>
              <w:autoSpaceDE w:val="0"/>
              <w:autoSpaceDN w:val="0"/>
              <w:adjustRightInd w:val="0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077C33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合約風險</w:t>
            </w:r>
          </w:p>
        </w:tc>
        <w:tc>
          <w:tcPr>
            <w:tcW w:w="6611" w:type="dxa"/>
          </w:tcPr>
          <w:p w:rsidR="00542DAB" w:rsidRDefault="00542DAB" w:rsidP="00542DAB">
            <w:pPr>
              <w:autoSpaceDE w:val="0"/>
              <w:autoSpaceDN w:val="0"/>
              <w:adjustRightInd w:val="0"/>
              <w:jc w:val="both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542DAB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合規風險係指未能遵循主管機關相關法規而造成之風險。</w:t>
            </w:r>
          </w:p>
          <w:p w:rsidR="00EC4D24" w:rsidRPr="00077C33" w:rsidRDefault="00542DAB" w:rsidP="00542DAB">
            <w:pPr>
              <w:autoSpaceDE w:val="0"/>
              <w:autoSpaceDN w:val="0"/>
              <w:adjustRightInd w:val="0"/>
              <w:jc w:val="both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542DAB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合約風險則指所簽訂的契約本身不具法律效力、越權行為、</w:t>
            </w:r>
            <w:r w:rsidRPr="00542DAB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lastRenderedPageBreak/>
              <w:t>條款疏漏、規範不周等致使契約無效，而造成之可能損失。</w:t>
            </w:r>
          </w:p>
        </w:tc>
      </w:tr>
      <w:tr w:rsidR="00542DAB" w:rsidRPr="00077C33" w:rsidTr="00AA4C0E">
        <w:trPr>
          <w:jc w:val="center"/>
        </w:trPr>
        <w:tc>
          <w:tcPr>
            <w:tcW w:w="1497" w:type="dxa"/>
          </w:tcPr>
          <w:p w:rsidR="00542DAB" w:rsidRPr="00077C33" w:rsidRDefault="00542DAB" w:rsidP="00B9346B">
            <w:pPr>
              <w:autoSpaceDE w:val="0"/>
              <w:autoSpaceDN w:val="0"/>
              <w:adjustRightInd w:val="0"/>
              <w:rPr>
                <w:rFonts w:ascii="標楷體" w:hAnsi="標楷體" w:cs="TT61975E41tCID-WinCharSetFFFF-H" w:hint="eastAsia"/>
                <w:color w:val="000000" w:themeColor="text1"/>
              </w:rPr>
            </w:pPr>
            <w:r w:rsidRPr="00542DAB">
              <w:rPr>
                <w:rFonts w:ascii="標楷體" w:hAnsi="標楷體" w:cs="TT61975E41tCID-WinCharSetFFFF-H"/>
                <w:color w:val="000000" w:themeColor="text1"/>
                <w:sz w:val="24"/>
              </w:rPr>
              <w:lastRenderedPageBreak/>
              <w:t>環璄風險</w:t>
            </w:r>
          </w:p>
        </w:tc>
        <w:tc>
          <w:tcPr>
            <w:tcW w:w="6611" w:type="dxa"/>
          </w:tcPr>
          <w:p w:rsidR="00542DAB" w:rsidRPr="00542DAB" w:rsidRDefault="00542DAB" w:rsidP="00542DAB">
            <w:pPr>
              <w:autoSpaceDE w:val="0"/>
              <w:autoSpaceDN w:val="0"/>
              <w:adjustRightInd w:val="0"/>
              <w:jc w:val="both"/>
              <w:rPr>
                <w:rFonts w:ascii="標楷體" w:hAnsi="標楷體" w:cs="TT61975E41tCID-WinCharSetFFFF-H" w:hint="eastAsia"/>
                <w:color w:val="000000" w:themeColor="text1"/>
              </w:rPr>
            </w:pPr>
            <w:r w:rsidRPr="00542DAB">
              <w:rPr>
                <w:rFonts w:ascii="標楷體" w:hAnsi="標楷體" w:cs="TT61975E41tCID-WinCharSetFFFF-H"/>
                <w:color w:val="000000" w:themeColor="text1"/>
                <w:sz w:val="24"/>
              </w:rPr>
              <w:t>包含因應氣候變遷與天然災害相關議題所展開之溫室氣體排放 管理、碳權管理、能源管理等有關議題之風險；以及需符合國際 及當地環保法令或環評要求如空汙、廢水、噪音、有毒物質排放 管理之風險。</w:t>
            </w:r>
          </w:p>
        </w:tc>
      </w:tr>
      <w:tr w:rsidR="00EC4D24" w:rsidRPr="00077C33" w:rsidTr="00AA4C0E">
        <w:trPr>
          <w:jc w:val="center"/>
        </w:trPr>
        <w:tc>
          <w:tcPr>
            <w:tcW w:w="1497" w:type="dxa"/>
          </w:tcPr>
          <w:p w:rsidR="00EC4D24" w:rsidRPr="00077C33" w:rsidRDefault="00EC4D24" w:rsidP="00B9346B">
            <w:pPr>
              <w:autoSpaceDE w:val="0"/>
              <w:autoSpaceDN w:val="0"/>
              <w:adjustRightInd w:val="0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077C33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其他風險</w:t>
            </w:r>
          </w:p>
        </w:tc>
        <w:tc>
          <w:tcPr>
            <w:tcW w:w="6611" w:type="dxa"/>
          </w:tcPr>
          <w:p w:rsidR="00EC4D24" w:rsidRPr="00077C33" w:rsidRDefault="00542DAB" w:rsidP="00542DAB">
            <w:pPr>
              <w:autoSpaceDE w:val="0"/>
              <w:autoSpaceDN w:val="0"/>
              <w:adjustRightInd w:val="0"/>
              <w:jc w:val="both"/>
              <w:rPr>
                <w:rFonts w:ascii="標楷體" w:hAnsi="標楷體" w:cs="TT61975E41tCID-WinCharSetFFFF-H"/>
                <w:color w:val="000000" w:themeColor="text1"/>
                <w:sz w:val="24"/>
              </w:rPr>
            </w:pPr>
            <w:r w:rsidRPr="00542DAB">
              <w:rPr>
                <w:rFonts w:ascii="標楷體" w:hAnsi="標楷體" w:cs="TT61975E41tCID-WinCharSetFFFF-H" w:hint="eastAsia"/>
                <w:color w:val="000000" w:themeColor="text1"/>
                <w:sz w:val="24"/>
              </w:rPr>
              <w:t>除上述風險外，如有其他風險應依據風險特性及受影響程度，建立適當之風險控管處理程序。</w:t>
            </w:r>
          </w:p>
        </w:tc>
      </w:tr>
    </w:tbl>
    <w:p w:rsidR="00EC4D24" w:rsidRPr="00EC4D24" w:rsidRDefault="00EC4D24" w:rsidP="00BE06DD">
      <w:pPr>
        <w:autoSpaceDE w:val="0"/>
        <w:autoSpaceDN w:val="0"/>
        <w:adjustRightInd w:val="0"/>
        <w:rPr>
          <w:rFonts w:hAnsiTheme="minorEastAsia"/>
          <w:color w:val="000000"/>
          <w:kern w:val="0"/>
          <w:szCs w:val="20"/>
          <w:lang w:eastAsia="zh-TW"/>
        </w:rPr>
      </w:pPr>
    </w:p>
    <w:p w:rsidR="00BE06DD" w:rsidRPr="00BE06DD" w:rsidRDefault="00EC4D24" w:rsidP="00EC4D24">
      <w:pPr>
        <w:autoSpaceDE w:val="0"/>
        <w:autoSpaceDN w:val="0"/>
        <w:adjustRightInd w:val="0"/>
        <w:jc w:val="both"/>
        <w:rPr>
          <w:rFonts w:hAnsiTheme="minorEastAsia"/>
          <w:color w:val="000000"/>
          <w:kern w:val="0"/>
          <w:szCs w:val="20"/>
          <w:lang w:eastAsia="zh-TW"/>
        </w:rPr>
      </w:pPr>
      <w:r>
        <w:rPr>
          <w:rFonts w:hAnsiTheme="minorEastAsia" w:hint="eastAsia"/>
          <w:color w:val="000000"/>
          <w:kern w:val="0"/>
          <w:szCs w:val="20"/>
          <w:lang w:eastAsia="zh-TW"/>
        </w:rPr>
        <w:t>本公司</w:t>
      </w:r>
      <w:r w:rsidRPr="00BE06DD">
        <w:rPr>
          <w:rFonts w:hAnsiTheme="minorEastAsia" w:hint="eastAsia"/>
          <w:color w:val="000000"/>
          <w:kern w:val="0"/>
          <w:szCs w:val="20"/>
        </w:rPr>
        <w:t>執行風險管理係按照風險管理三級制分工架構</w:t>
      </w:r>
      <w:proofErr w:type="gramStart"/>
      <w:r w:rsidRPr="00BE06DD">
        <w:rPr>
          <w:rFonts w:hAnsiTheme="minorEastAsia" w:hint="eastAsia"/>
          <w:color w:val="000000"/>
          <w:kern w:val="0"/>
          <w:szCs w:val="20"/>
        </w:rPr>
        <w:t>運作</w:t>
      </w:r>
      <w:r>
        <w:rPr>
          <w:rFonts w:hAnsiTheme="minorEastAsia" w:hint="eastAsia"/>
          <w:color w:val="000000"/>
          <w:kern w:val="0"/>
          <w:szCs w:val="20"/>
          <w:lang w:eastAsia="zh-TW"/>
        </w:rPr>
        <w:t>－</w:t>
      </w:r>
      <w:r w:rsidRPr="00EC4D24">
        <w:rPr>
          <w:rFonts w:hAnsiTheme="minorEastAsia" w:hint="eastAsia"/>
          <w:color w:val="000000"/>
          <w:kern w:val="0"/>
          <w:szCs w:val="20"/>
          <w:lang w:eastAsia="zh-TW"/>
        </w:rPr>
        <w:t>由總經理</w:t>
      </w:r>
      <w:proofErr w:type="gramEnd"/>
      <w:r w:rsidRPr="00EC4D24">
        <w:rPr>
          <w:rFonts w:hAnsiTheme="minorEastAsia" w:hint="eastAsia"/>
          <w:color w:val="000000"/>
          <w:kern w:val="0"/>
          <w:szCs w:val="20"/>
          <w:lang w:eastAsia="zh-TW"/>
        </w:rPr>
        <w:t>室統籌指揮風險管理計畫之推動及運作，</w:t>
      </w:r>
      <w:r>
        <w:rPr>
          <w:rFonts w:hAnsiTheme="minorEastAsia" w:hint="eastAsia"/>
          <w:color w:val="000000"/>
          <w:kern w:val="0"/>
          <w:szCs w:val="20"/>
          <w:lang w:eastAsia="zh-TW"/>
        </w:rPr>
        <w:t>並設有各部門權責單位，</w:t>
      </w:r>
      <w:r w:rsidR="00C143D4">
        <w:rPr>
          <w:rFonts w:hAnsiTheme="minorEastAsia" w:hint="eastAsia"/>
          <w:color w:val="000000"/>
          <w:kern w:val="0"/>
          <w:szCs w:val="20"/>
          <w:lang w:eastAsia="zh-TW"/>
        </w:rPr>
        <w:t>由各單位</w:t>
      </w:r>
      <w:r>
        <w:rPr>
          <w:rFonts w:hAnsiTheme="minorEastAsia" w:hint="eastAsia"/>
          <w:color w:val="000000"/>
          <w:kern w:val="0"/>
          <w:szCs w:val="20"/>
          <w:lang w:eastAsia="zh-TW"/>
        </w:rPr>
        <w:t>負責推動各項業務風險管理以</w:t>
      </w:r>
      <w:r w:rsidR="00BE06DD" w:rsidRPr="00BE06DD">
        <w:rPr>
          <w:rFonts w:hAnsiTheme="minorEastAsia" w:hint="eastAsia"/>
          <w:color w:val="000000"/>
          <w:kern w:val="0"/>
          <w:szCs w:val="20"/>
        </w:rPr>
        <w:t>建立有效風險管理機制。</w:t>
      </w:r>
    </w:p>
    <w:p w:rsidR="00BE06DD" w:rsidRDefault="00542DAB" w:rsidP="00BE06DD">
      <w:pPr>
        <w:autoSpaceDE w:val="0"/>
        <w:autoSpaceDN w:val="0"/>
        <w:adjustRightInd w:val="0"/>
        <w:rPr>
          <w:lang w:eastAsia="zh-TW"/>
        </w:rPr>
      </w:pPr>
      <w:r>
        <w:rPr>
          <w:noProof/>
          <w:lang w:eastAsia="zh-TW"/>
        </w:rPr>
        <w:drawing>
          <wp:inline distT="0" distB="0" distL="0" distR="0" wp14:anchorId="44A80A09">
            <wp:extent cx="3880866" cy="1865376"/>
            <wp:effectExtent l="0" t="0" r="5715" b="190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67" cy="187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4D24" w:rsidRDefault="00EC4D24" w:rsidP="00BE06DD">
      <w:pPr>
        <w:autoSpaceDE w:val="0"/>
        <w:autoSpaceDN w:val="0"/>
        <w:adjustRightInd w:val="0"/>
        <w:rPr>
          <w:lang w:eastAsia="zh-TW"/>
        </w:rPr>
      </w:pPr>
    </w:p>
    <w:p w:rsidR="001A41FD" w:rsidRPr="00BE06DD" w:rsidRDefault="001A41FD" w:rsidP="001A41FD">
      <w:pPr>
        <w:pStyle w:val="a8"/>
        <w:numPr>
          <w:ilvl w:val="0"/>
          <w:numId w:val="6"/>
        </w:numPr>
        <w:spacing w:line="300" w:lineRule="exact"/>
        <w:ind w:leftChars="0"/>
        <w:rPr>
          <w:b/>
          <w:szCs w:val="32"/>
          <w:lang w:eastAsia="zh-TW"/>
        </w:rPr>
      </w:pPr>
      <w:r w:rsidRPr="007C4AD4">
        <w:rPr>
          <w:rFonts w:hint="eastAsia"/>
          <w:b/>
          <w:szCs w:val="32"/>
          <w:lang w:eastAsia="zh-TW"/>
        </w:rPr>
        <w:t>風險管理</w:t>
      </w:r>
      <w:r>
        <w:rPr>
          <w:rFonts w:hint="eastAsia"/>
          <w:b/>
          <w:szCs w:val="32"/>
          <w:lang w:eastAsia="zh-TW"/>
        </w:rPr>
        <w:t>執行</w:t>
      </w:r>
      <w:r w:rsidR="00A04C33">
        <w:rPr>
          <w:rFonts w:hint="eastAsia"/>
          <w:b/>
          <w:szCs w:val="32"/>
          <w:lang w:eastAsia="zh-TW"/>
        </w:rPr>
        <w:t>作業</w:t>
      </w:r>
    </w:p>
    <w:p w:rsidR="000A625E" w:rsidRPr="000A625E" w:rsidRDefault="000A625E" w:rsidP="000A625E">
      <w:pPr>
        <w:pStyle w:val="ad"/>
        <w:numPr>
          <w:ilvl w:val="0"/>
          <w:numId w:val="8"/>
        </w:numPr>
        <w:suppressAutoHyphens w:val="0"/>
        <w:autoSpaceDE w:val="0"/>
        <w:autoSpaceDN w:val="0"/>
        <w:adjustRightInd w:val="0"/>
        <w:ind w:leftChars="0"/>
        <w:jc w:val="both"/>
        <w:rPr>
          <w:rFonts w:hAnsiTheme="minorEastAsia"/>
          <w:color w:val="000000"/>
          <w:kern w:val="0"/>
          <w:lang w:eastAsia="zh-TW"/>
        </w:rPr>
      </w:pPr>
      <w:r w:rsidRPr="001A41FD">
        <w:rPr>
          <w:rFonts w:hAnsiTheme="minorEastAsia"/>
          <w:color w:val="000000"/>
          <w:kern w:val="0"/>
          <w:u w:val="single"/>
        </w:rPr>
        <w:t>每月例會</w:t>
      </w:r>
      <w:r w:rsidRPr="001A41FD">
        <w:rPr>
          <w:rFonts w:hAnsiTheme="minorEastAsia" w:hint="eastAsia"/>
          <w:color w:val="000000"/>
          <w:kern w:val="0"/>
          <w:u w:val="single"/>
        </w:rPr>
        <w:t>討論</w:t>
      </w:r>
      <w:r w:rsidRPr="001A41FD">
        <w:rPr>
          <w:rFonts w:hAnsiTheme="minorEastAsia"/>
          <w:color w:val="000000"/>
          <w:kern w:val="0"/>
        </w:rPr>
        <w:t>：</w:t>
      </w:r>
      <w:r>
        <w:rPr>
          <w:rFonts w:hAnsiTheme="minorEastAsia" w:hint="eastAsia"/>
          <w:color w:val="000000"/>
          <w:kern w:val="0"/>
          <w:lang w:eastAsia="zh-TW"/>
        </w:rPr>
        <w:t>本</w:t>
      </w:r>
      <w:r w:rsidRPr="000A625E">
        <w:rPr>
          <w:rFonts w:hAnsiTheme="minorEastAsia"/>
          <w:color w:val="000000"/>
          <w:kern w:val="0"/>
        </w:rPr>
        <w:t>公司每月份</w:t>
      </w:r>
      <w:r w:rsidR="00564861" w:rsidRPr="000A625E">
        <w:rPr>
          <w:rFonts w:hAnsiTheme="minorEastAsia"/>
          <w:color w:val="000000"/>
          <w:kern w:val="0"/>
        </w:rPr>
        <w:t>定期</w:t>
      </w:r>
      <w:r w:rsidRPr="000A625E">
        <w:rPr>
          <w:rFonts w:hAnsiTheme="minorEastAsia"/>
          <w:color w:val="000000"/>
          <w:kern w:val="0"/>
        </w:rPr>
        <w:t>召開</w:t>
      </w:r>
      <w:r w:rsidR="0049132D">
        <w:rPr>
          <w:rFonts w:hint="eastAsia"/>
          <w:color w:val="000000"/>
          <w:kern w:val="0"/>
          <w:lang w:eastAsia="zh-TW"/>
        </w:rPr>
        <w:t>各</w:t>
      </w:r>
      <w:r w:rsidR="0049132D">
        <w:rPr>
          <w:rFonts w:hAnsiTheme="minorEastAsia" w:hint="eastAsia"/>
          <w:color w:val="000000"/>
          <w:kern w:val="0"/>
          <w:lang w:eastAsia="zh-TW"/>
        </w:rPr>
        <w:t>類別之</w:t>
      </w:r>
      <w:r w:rsidRPr="000A625E">
        <w:rPr>
          <w:rFonts w:hAnsiTheme="minorEastAsia"/>
          <w:color w:val="000000"/>
          <w:kern w:val="0"/>
        </w:rPr>
        <w:t>主管會議</w:t>
      </w:r>
      <w:r w:rsidRPr="000A625E">
        <w:rPr>
          <w:rFonts w:hAnsiTheme="minorEastAsia" w:hint="eastAsia"/>
          <w:color w:val="000000"/>
          <w:kern w:val="0"/>
        </w:rPr>
        <w:t>，</w:t>
      </w:r>
      <w:r>
        <w:rPr>
          <w:rFonts w:hAnsiTheme="minorEastAsia" w:hint="eastAsia"/>
          <w:color w:val="000000"/>
          <w:kern w:val="0"/>
          <w:szCs w:val="20"/>
          <w:lang w:eastAsia="zh-TW"/>
        </w:rPr>
        <w:t>各部門權責主管</w:t>
      </w:r>
      <w:r w:rsidRPr="000A625E">
        <w:rPr>
          <w:rFonts w:hAnsiTheme="minorEastAsia" w:hint="eastAsia"/>
          <w:color w:val="000000"/>
          <w:kern w:val="0"/>
        </w:rPr>
        <w:t>可</w:t>
      </w:r>
      <w:r>
        <w:rPr>
          <w:rFonts w:hAnsiTheme="minorEastAsia" w:hint="eastAsia"/>
          <w:color w:val="000000"/>
          <w:kern w:val="0"/>
          <w:lang w:eastAsia="zh-TW"/>
        </w:rPr>
        <w:t>即時</w:t>
      </w:r>
      <w:r w:rsidRPr="000A625E">
        <w:rPr>
          <w:rFonts w:hAnsiTheme="minorEastAsia" w:hint="eastAsia"/>
          <w:color w:val="000000"/>
          <w:kern w:val="0"/>
        </w:rPr>
        <w:t>於會議中提出相關議題並進行討論。</w:t>
      </w:r>
    </w:p>
    <w:p w:rsidR="007C4AD4" w:rsidRPr="001A41FD" w:rsidRDefault="007C4AD4" w:rsidP="000A625E">
      <w:pPr>
        <w:pStyle w:val="ad"/>
        <w:numPr>
          <w:ilvl w:val="0"/>
          <w:numId w:val="8"/>
        </w:numPr>
        <w:suppressAutoHyphens w:val="0"/>
        <w:autoSpaceDE w:val="0"/>
        <w:autoSpaceDN w:val="0"/>
        <w:adjustRightInd w:val="0"/>
        <w:ind w:leftChars="0"/>
        <w:jc w:val="both"/>
        <w:rPr>
          <w:color w:val="000000"/>
          <w:kern w:val="0"/>
        </w:rPr>
      </w:pPr>
      <w:r w:rsidRPr="001A41FD">
        <w:rPr>
          <w:rFonts w:hAnsiTheme="minorEastAsia"/>
          <w:color w:val="000000"/>
          <w:kern w:val="0"/>
          <w:u w:val="single"/>
        </w:rPr>
        <w:t>每年度蒐集相關議題</w:t>
      </w:r>
      <w:r w:rsidRPr="001A41FD">
        <w:rPr>
          <w:rFonts w:hAnsiTheme="minorEastAsia"/>
          <w:color w:val="000000"/>
          <w:kern w:val="0"/>
        </w:rPr>
        <w:t>：每年</w:t>
      </w:r>
      <w:r w:rsidR="00FC7C6F">
        <w:rPr>
          <w:rFonts w:hAnsiTheme="minorEastAsia" w:hint="eastAsia"/>
          <w:color w:val="000000"/>
          <w:kern w:val="0"/>
          <w:lang w:eastAsia="zh-TW"/>
        </w:rPr>
        <w:t>底</w:t>
      </w:r>
      <w:r w:rsidRPr="001A41FD">
        <w:rPr>
          <w:rFonts w:hAnsiTheme="minorEastAsia"/>
          <w:color w:val="000000"/>
          <w:kern w:val="0"/>
        </w:rPr>
        <w:t>進行年度計劃時，由</w:t>
      </w:r>
      <w:r w:rsidR="00D50A47">
        <w:rPr>
          <w:rFonts w:hAnsiTheme="minorEastAsia" w:hint="eastAsia"/>
          <w:color w:val="000000"/>
          <w:kern w:val="0"/>
          <w:szCs w:val="20"/>
          <w:lang w:eastAsia="zh-TW"/>
        </w:rPr>
        <w:t>各部門權責單位</w:t>
      </w:r>
      <w:r w:rsidRPr="001A41FD">
        <w:rPr>
          <w:rFonts w:hAnsiTheme="minorEastAsia"/>
          <w:color w:val="000000"/>
          <w:kern w:val="0"/>
        </w:rPr>
        <w:t>蒐集內</w:t>
      </w:r>
      <w:r w:rsidR="00082B07">
        <w:rPr>
          <w:rFonts w:hAnsiTheme="minorEastAsia" w:hint="eastAsia"/>
          <w:color w:val="000000"/>
          <w:kern w:val="0"/>
          <w:lang w:eastAsia="zh-TW"/>
        </w:rPr>
        <w:t>/</w:t>
      </w:r>
      <w:r w:rsidRPr="001A41FD">
        <w:rPr>
          <w:rFonts w:hAnsiTheme="minorEastAsia"/>
          <w:color w:val="000000"/>
          <w:kern w:val="0"/>
        </w:rPr>
        <w:t>外部利害關係人關注之議題並衡量相關議題是否對公司構成風險</w:t>
      </w:r>
      <w:r w:rsidRPr="001A41FD">
        <w:rPr>
          <w:color w:val="000000"/>
          <w:kern w:val="0"/>
        </w:rPr>
        <w:t>/</w:t>
      </w:r>
      <w:r w:rsidRPr="001A41FD">
        <w:rPr>
          <w:rFonts w:hAnsiTheme="minorEastAsia"/>
          <w:color w:val="000000"/>
          <w:kern w:val="0"/>
        </w:rPr>
        <w:t>機會，若列為風險</w:t>
      </w:r>
      <w:r w:rsidRPr="001A41FD">
        <w:rPr>
          <w:color w:val="000000"/>
          <w:kern w:val="0"/>
        </w:rPr>
        <w:t>/</w:t>
      </w:r>
      <w:r w:rsidRPr="001A41FD">
        <w:rPr>
          <w:rFonts w:hAnsiTheme="minorEastAsia"/>
          <w:color w:val="000000"/>
          <w:kern w:val="0"/>
        </w:rPr>
        <w:t>機會之議題需提出相對應之策略及執行計劃並於每半年召開一次</w:t>
      </w:r>
      <w:proofErr w:type="gramStart"/>
      <w:r w:rsidRPr="001A41FD">
        <w:rPr>
          <w:rFonts w:hAnsiTheme="minorEastAsia"/>
          <w:color w:val="000000"/>
          <w:kern w:val="0"/>
        </w:rPr>
        <w:t>之管審會議</w:t>
      </w:r>
      <w:proofErr w:type="gramEnd"/>
      <w:r w:rsidRPr="001A41FD">
        <w:rPr>
          <w:rFonts w:hAnsiTheme="minorEastAsia"/>
          <w:color w:val="000000"/>
          <w:kern w:val="0"/>
        </w:rPr>
        <w:t>中追蹤執行情形。</w:t>
      </w:r>
    </w:p>
    <w:p w:rsidR="001A41FD" w:rsidRPr="00BD324E" w:rsidRDefault="001A41FD" w:rsidP="000A625E">
      <w:pPr>
        <w:pStyle w:val="ad"/>
        <w:numPr>
          <w:ilvl w:val="0"/>
          <w:numId w:val="8"/>
        </w:numPr>
        <w:suppressAutoHyphens w:val="0"/>
        <w:autoSpaceDE w:val="0"/>
        <w:autoSpaceDN w:val="0"/>
        <w:adjustRightInd w:val="0"/>
        <w:ind w:leftChars="0"/>
        <w:jc w:val="both"/>
        <w:rPr>
          <w:color w:val="000000"/>
          <w:kern w:val="0"/>
          <w:lang w:eastAsia="zh-TW"/>
        </w:rPr>
      </w:pPr>
      <w:r w:rsidRPr="001A41FD">
        <w:rPr>
          <w:rFonts w:hAnsiTheme="minorEastAsia"/>
          <w:color w:val="000000"/>
          <w:kern w:val="0"/>
          <w:u w:val="single"/>
        </w:rPr>
        <w:t>每年度</w:t>
      </w:r>
      <w:r>
        <w:rPr>
          <w:rFonts w:hAnsiTheme="minorEastAsia" w:hint="eastAsia"/>
          <w:color w:val="000000"/>
          <w:kern w:val="0"/>
          <w:u w:val="single"/>
          <w:lang w:eastAsia="zh-TW"/>
        </w:rPr>
        <w:t>向董事會報告</w:t>
      </w:r>
      <w:r w:rsidRPr="001A41FD">
        <w:rPr>
          <w:rFonts w:hAnsiTheme="minorEastAsia"/>
          <w:color w:val="000000"/>
          <w:kern w:val="0"/>
        </w:rPr>
        <w:t>：</w:t>
      </w:r>
      <w:r w:rsidR="007406E6">
        <w:rPr>
          <w:rFonts w:hAnsiTheme="minorEastAsia" w:hint="eastAsia"/>
          <w:color w:val="000000"/>
          <w:kern w:val="0"/>
          <w:lang w:eastAsia="zh-TW"/>
        </w:rPr>
        <w:t>本公司</w:t>
      </w:r>
      <w:r w:rsidR="007406E6">
        <w:rPr>
          <w:rFonts w:hAnsiTheme="minorEastAsia" w:hint="eastAsia"/>
          <w:color w:val="000000"/>
          <w:kern w:val="0"/>
          <w:szCs w:val="20"/>
          <w:lang w:eastAsia="zh-TW"/>
        </w:rPr>
        <w:t>「企業永續發展委員會」</w:t>
      </w:r>
      <w:r w:rsidR="00CA0090">
        <w:rPr>
          <w:rFonts w:hAnsiTheme="minorEastAsia" w:hint="eastAsia"/>
          <w:color w:val="000000"/>
          <w:kern w:val="0"/>
          <w:szCs w:val="20"/>
          <w:lang w:eastAsia="zh-TW"/>
        </w:rPr>
        <w:t>每年度針對與公司營運相關之環境、社會、公司治理</w:t>
      </w:r>
      <w:r w:rsidR="00223978">
        <w:rPr>
          <w:rFonts w:hAnsiTheme="minorEastAsia" w:hint="eastAsia"/>
          <w:color w:val="000000"/>
          <w:kern w:val="0"/>
          <w:szCs w:val="20"/>
          <w:lang w:eastAsia="zh-TW"/>
        </w:rPr>
        <w:t>重大議題</w:t>
      </w:r>
      <w:r w:rsidR="00CA0090">
        <w:rPr>
          <w:rFonts w:hAnsiTheme="minorEastAsia" w:hint="eastAsia"/>
          <w:color w:val="000000"/>
          <w:kern w:val="0"/>
          <w:szCs w:val="20"/>
          <w:lang w:eastAsia="zh-TW"/>
        </w:rPr>
        <w:t>及</w:t>
      </w:r>
      <w:r w:rsidR="00223978">
        <w:rPr>
          <w:rFonts w:hAnsiTheme="minorEastAsia" w:hint="eastAsia"/>
          <w:color w:val="000000"/>
          <w:kern w:val="0"/>
          <w:szCs w:val="20"/>
          <w:lang w:eastAsia="zh-TW"/>
        </w:rPr>
        <w:t>其</w:t>
      </w:r>
      <w:r w:rsidR="00CA0090">
        <w:rPr>
          <w:rFonts w:hAnsiTheme="minorEastAsia" w:hint="eastAsia"/>
          <w:color w:val="000000"/>
          <w:kern w:val="0"/>
          <w:szCs w:val="20"/>
          <w:lang w:eastAsia="zh-TW"/>
        </w:rPr>
        <w:t>風險管理等構面向董事會報告</w:t>
      </w:r>
      <w:r w:rsidR="00B63FA8">
        <w:rPr>
          <w:rFonts w:hAnsiTheme="minorEastAsia" w:hint="eastAsia"/>
          <w:color w:val="000000"/>
          <w:kern w:val="0"/>
          <w:szCs w:val="20"/>
          <w:lang w:eastAsia="zh-TW"/>
        </w:rPr>
        <w:t>相關</w:t>
      </w:r>
      <w:r w:rsidR="00CA0090">
        <w:rPr>
          <w:rFonts w:hAnsiTheme="minorEastAsia" w:hint="eastAsia"/>
          <w:color w:val="000000"/>
          <w:kern w:val="0"/>
          <w:szCs w:val="20"/>
          <w:lang w:eastAsia="zh-TW"/>
        </w:rPr>
        <w:t>運作及執行情形</w:t>
      </w:r>
      <w:r w:rsidR="00B63FA8">
        <w:rPr>
          <w:rFonts w:hAnsiTheme="minorEastAsia" w:hint="eastAsia"/>
          <w:color w:val="000000"/>
          <w:kern w:val="0"/>
          <w:szCs w:val="20"/>
          <w:lang w:eastAsia="zh-TW"/>
        </w:rPr>
        <w:t>。</w:t>
      </w:r>
    </w:p>
    <w:p w:rsidR="00FF349C" w:rsidRDefault="00FF349C" w:rsidP="00BD324E">
      <w:pPr>
        <w:suppressAutoHyphens w:val="0"/>
        <w:autoSpaceDE w:val="0"/>
        <w:autoSpaceDN w:val="0"/>
        <w:adjustRightInd w:val="0"/>
        <w:ind w:left="480"/>
        <w:jc w:val="both"/>
        <w:rPr>
          <w:color w:val="000000"/>
          <w:kern w:val="0"/>
          <w:lang w:eastAsia="zh-TW"/>
        </w:rPr>
      </w:pPr>
    </w:p>
    <w:p w:rsidR="005355C3" w:rsidRPr="005355C3" w:rsidRDefault="00542DAB" w:rsidP="005355C3">
      <w:pPr>
        <w:pStyle w:val="a8"/>
        <w:numPr>
          <w:ilvl w:val="0"/>
          <w:numId w:val="6"/>
        </w:numPr>
        <w:spacing w:line="300" w:lineRule="exact"/>
        <w:ind w:leftChars="0"/>
        <w:rPr>
          <w:b/>
          <w:szCs w:val="32"/>
          <w:lang w:eastAsia="zh-TW"/>
        </w:rPr>
      </w:pPr>
      <w:proofErr w:type="gramStart"/>
      <w:r>
        <w:rPr>
          <w:rFonts w:hint="eastAsia"/>
          <w:b/>
          <w:szCs w:val="32"/>
          <w:lang w:eastAsia="zh-TW"/>
        </w:rPr>
        <w:t>110</w:t>
      </w:r>
      <w:proofErr w:type="gramEnd"/>
      <w:r w:rsidR="005355C3">
        <w:rPr>
          <w:rFonts w:hint="eastAsia"/>
          <w:b/>
          <w:szCs w:val="32"/>
          <w:lang w:eastAsia="zh-TW"/>
        </w:rPr>
        <w:t>年</w:t>
      </w:r>
      <w:r w:rsidR="006927BC">
        <w:rPr>
          <w:rFonts w:hint="eastAsia"/>
          <w:b/>
          <w:szCs w:val="32"/>
          <w:lang w:eastAsia="zh-TW"/>
        </w:rPr>
        <w:t>度</w:t>
      </w:r>
      <w:r w:rsidR="005355C3" w:rsidRPr="005355C3">
        <w:rPr>
          <w:rFonts w:hint="eastAsia"/>
          <w:b/>
          <w:szCs w:val="32"/>
          <w:lang w:eastAsia="zh-TW"/>
        </w:rPr>
        <w:t>風險管理執行</w:t>
      </w:r>
      <w:r w:rsidR="005355C3">
        <w:rPr>
          <w:rFonts w:hint="eastAsia"/>
          <w:b/>
          <w:szCs w:val="32"/>
          <w:lang w:eastAsia="zh-TW"/>
        </w:rPr>
        <w:t>情形</w:t>
      </w:r>
    </w:p>
    <w:p w:rsidR="000A4391" w:rsidRDefault="00542DAB" w:rsidP="00BD324E">
      <w:pPr>
        <w:suppressAutoHyphens w:val="0"/>
        <w:autoSpaceDE w:val="0"/>
        <w:autoSpaceDN w:val="0"/>
        <w:adjustRightInd w:val="0"/>
        <w:ind w:left="480"/>
        <w:jc w:val="both"/>
        <w:rPr>
          <w:color w:val="000000"/>
          <w:kern w:val="0"/>
          <w:lang w:eastAsia="zh-TW"/>
        </w:rPr>
      </w:pPr>
      <w:proofErr w:type="gramStart"/>
      <w:r>
        <w:rPr>
          <w:rFonts w:hint="eastAsia"/>
          <w:color w:val="000000"/>
          <w:kern w:val="0"/>
          <w:lang w:eastAsia="zh-TW"/>
        </w:rPr>
        <w:t>110</w:t>
      </w:r>
      <w:proofErr w:type="gramEnd"/>
      <w:r w:rsidR="005355C3">
        <w:rPr>
          <w:rFonts w:hint="eastAsia"/>
          <w:color w:val="000000"/>
          <w:kern w:val="0"/>
          <w:lang w:eastAsia="zh-TW"/>
        </w:rPr>
        <w:t>年度本公司依</w:t>
      </w:r>
      <w:r w:rsidR="000A4391">
        <w:rPr>
          <w:rFonts w:hint="eastAsia"/>
          <w:color w:val="000000"/>
          <w:kern w:val="0"/>
          <w:lang w:eastAsia="zh-TW"/>
        </w:rPr>
        <w:t>循</w:t>
      </w:r>
      <w:r w:rsidR="005355C3">
        <w:rPr>
          <w:rFonts w:hint="eastAsia"/>
          <w:color w:val="000000"/>
          <w:kern w:val="0"/>
          <w:lang w:eastAsia="zh-TW"/>
        </w:rPr>
        <w:t>上述風險管理執行</w:t>
      </w:r>
      <w:r w:rsidR="00A04C33">
        <w:rPr>
          <w:rFonts w:hint="eastAsia"/>
          <w:color w:val="000000"/>
          <w:kern w:val="0"/>
          <w:lang w:eastAsia="zh-TW"/>
        </w:rPr>
        <w:t>作業</w:t>
      </w:r>
      <w:r w:rsidR="00B66655">
        <w:rPr>
          <w:rFonts w:hint="eastAsia"/>
          <w:color w:val="000000"/>
          <w:kern w:val="0"/>
          <w:lang w:eastAsia="zh-TW"/>
        </w:rPr>
        <w:t>：</w:t>
      </w:r>
    </w:p>
    <w:p w:rsidR="000A4391" w:rsidRDefault="0009607C" w:rsidP="000A4391">
      <w:pPr>
        <w:pStyle w:val="ad"/>
        <w:numPr>
          <w:ilvl w:val="0"/>
          <w:numId w:val="9"/>
        </w:numPr>
        <w:suppressAutoHyphens w:val="0"/>
        <w:autoSpaceDE w:val="0"/>
        <w:autoSpaceDN w:val="0"/>
        <w:adjustRightInd w:val="0"/>
        <w:ind w:leftChars="0"/>
        <w:jc w:val="both"/>
        <w:rPr>
          <w:color w:val="000000"/>
          <w:kern w:val="0"/>
          <w:lang w:eastAsia="zh-TW"/>
        </w:rPr>
      </w:pPr>
      <w:r>
        <w:rPr>
          <w:rFonts w:hint="eastAsia"/>
          <w:color w:val="000000"/>
          <w:kern w:val="0"/>
          <w:lang w:eastAsia="zh-TW"/>
        </w:rPr>
        <w:t>於</w:t>
      </w:r>
      <w:r w:rsidR="000A4391" w:rsidRPr="000A4391">
        <w:rPr>
          <w:rFonts w:hint="eastAsia"/>
          <w:color w:val="000000"/>
          <w:kern w:val="0"/>
          <w:lang w:eastAsia="zh-TW"/>
        </w:rPr>
        <w:t>每月例會討論提出</w:t>
      </w:r>
      <w:r w:rsidR="00554C7A">
        <w:rPr>
          <w:rFonts w:hint="eastAsia"/>
          <w:color w:val="000000"/>
          <w:kern w:val="0"/>
          <w:lang w:eastAsia="zh-TW"/>
        </w:rPr>
        <w:t>之</w:t>
      </w:r>
      <w:r w:rsidR="00315604">
        <w:rPr>
          <w:rFonts w:hint="eastAsia"/>
          <w:color w:val="000000"/>
          <w:kern w:val="0"/>
          <w:lang w:eastAsia="zh-TW"/>
        </w:rPr>
        <w:t>相關</w:t>
      </w:r>
      <w:r w:rsidR="000A4391" w:rsidRPr="000A4391">
        <w:rPr>
          <w:rFonts w:hint="eastAsia"/>
          <w:color w:val="000000"/>
          <w:kern w:val="0"/>
          <w:lang w:eastAsia="zh-TW"/>
        </w:rPr>
        <w:t>議題</w:t>
      </w:r>
      <w:r w:rsidR="00FC5C89">
        <w:rPr>
          <w:rFonts w:hint="eastAsia"/>
          <w:color w:val="000000"/>
          <w:kern w:val="0"/>
          <w:lang w:eastAsia="zh-TW"/>
        </w:rPr>
        <w:t>。</w:t>
      </w:r>
    </w:p>
    <w:p w:rsidR="005355C3" w:rsidRDefault="000A4391" w:rsidP="000A4391">
      <w:pPr>
        <w:pStyle w:val="ad"/>
        <w:numPr>
          <w:ilvl w:val="0"/>
          <w:numId w:val="9"/>
        </w:numPr>
        <w:suppressAutoHyphens w:val="0"/>
        <w:autoSpaceDE w:val="0"/>
        <w:autoSpaceDN w:val="0"/>
        <w:adjustRightInd w:val="0"/>
        <w:ind w:leftChars="0"/>
        <w:jc w:val="both"/>
        <w:rPr>
          <w:color w:val="000000"/>
          <w:kern w:val="0"/>
          <w:lang w:eastAsia="zh-TW"/>
        </w:rPr>
      </w:pPr>
      <w:r w:rsidRPr="000A4391">
        <w:rPr>
          <w:rFonts w:hint="eastAsia"/>
          <w:color w:val="000000"/>
          <w:kern w:val="0"/>
          <w:lang w:eastAsia="zh-TW"/>
        </w:rPr>
        <w:t>於</w:t>
      </w:r>
      <w:r w:rsidR="00542DAB">
        <w:rPr>
          <w:rFonts w:hint="eastAsia"/>
          <w:color w:val="000000"/>
          <w:kern w:val="0"/>
          <w:lang w:eastAsia="zh-TW"/>
        </w:rPr>
        <w:t>110</w:t>
      </w:r>
      <w:r w:rsidRPr="000A4391">
        <w:rPr>
          <w:rFonts w:hint="eastAsia"/>
          <w:color w:val="000000"/>
          <w:kern w:val="0"/>
          <w:lang w:eastAsia="zh-TW"/>
        </w:rPr>
        <w:t>年</w:t>
      </w:r>
      <w:r w:rsidRPr="000A4391">
        <w:rPr>
          <w:rFonts w:hint="eastAsia"/>
          <w:color w:val="000000"/>
          <w:kern w:val="0"/>
          <w:lang w:eastAsia="zh-TW"/>
        </w:rPr>
        <w:t>1</w:t>
      </w:r>
      <w:r w:rsidRPr="000A4391">
        <w:rPr>
          <w:rFonts w:hint="eastAsia"/>
          <w:color w:val="000000"/>
          <w:kern w:val="0"/>
          <w:lang w:eastAsia="zh-TW"/>
        </w:rPr>
        <w:t>月及</w:t>
      </w:r>
      <w:r w:rsidRPr="000A4391">
        <w:rPr>
          <w:rFonts w:hint="eastAsia"/>
          <w:color w:val="000000"/>
          <w:kern w:val="0"/>
          <w:lang w:eastAsia="zh-TW"/>
        </w:rPr>
        <w:t>7</w:t>
      </w:r>
      <w:r w:rsidRPr="000A4391">
        <w:rPr>
          <w:rFonts w:hint="eastAsia"/>
          <w:color w:val="000000"/>
          <w:kern w:val="0"/>
          <w:lang w:eastAsia="zh-TW"/>
        </w:rPr>
        <w:t>月</w:t>
      </w:r>
      <w:proofErr w:type="gramStart"/>
      <w:r w:rsidRPr="000A4391">
        <w:rPr>
          <w:rFonts w:hint="eastAsia"/>
          <w:color w:val="000000"/>
          <w:kern w:val="0"/>
          <w:lang w:eastAsia="zh-TW"/>
        </w:rPr>
        <w:t>之管審會議</w:t>
      </w:r>
      <w:proofErr w:type="gramEnd"/>
      <w:r w:rsidRPr="000A4391">
        <w:rPr>
          <w:rFonts w:hint="eastAsia"/>
          <w:color w:val="000000"/>
          <w:kern w:val="0"/>
          <w:lang w:eastAsia="zh-TW"/>
        </w:rPr>
        <w:t>中追蹤前一年度</w:t>
      </w:r>
      <w:r>
        <w:rPr>
          <w:rFonts w:hint="eastAsia"/>
          <w:color w:val="000000"/>
          <w:kern w:val="0"/>
          <w:lang w:eastAsia="zh-TW"/>
        </w:rPr>
        <w:t>各單位</w:t>
      </w:r>
      <w:r w:rsidRPr="000A4391">
        <w:rPr>
          <w:rFonts w:hint="eastAsia"/>
          <w:color w:val="000000"/>
          <w:kern w:val="0"/>
          <w:lang w:eastAsia="zh-TW"/>
        </w:rPr>
        <w:t>提出之風險項目</w:t>
      </w:r>
      <w:r>
        <w:rPr>
          <w:rFonts w:hint="eastAsia"/>
          <w:color w:val="000000"/>
          <w:kern w:val="0"/>
          <w:lang w:eastAsia="zh-TW"/>
        </w:rPr>
        <w:t>及對策執行情形；並於</w:t>
      </w:r>
      <w:r w:rsidR="00542DAB">
        <w:rPr>
          <w:rFonts w:hint="eastAsia"/>
          <w:color w:val="000000"/>
          <w:kern w:val="0"/>
          <w:lang w:eastAsia="zh-TW"/>
        </w:rPr>
        <w:t>110</w:t>
      </w:r>
      <w:r w:rsidRPr="000A4391">
        <w:rPr>
          <w:rFonts w:hint="eastAsia"/>
          <w:color w:val="000000"/>
          <w:kern w:val="0"/>
          <w:lang w:eastAsia="zh-TW"/>
        </w:rPr>
        <w:t>年</w:t>
      </w:r>
      <w:r w:rsidRPr="000A4391">
        <w:rPr>
          <w:rFonts w:hint="eastAsia"/>
          <w:color w:val="000000"/>
          <w:kern w:val="0"/>
          <w:lang w:eastAsia="zh-TW"/>
        </w:rPr>
        <w:t>9</w:t>
      </w:r>
      <w:r w:rsidRPr="000A4391">
        <w:rPr>
          <w:rFonts w:hint="eastAsia"/>
          <w:color w:val="000000"/>
          <w:kern w:val="0"/>
          <w:lang w:eastAsia="zh-TW"/>
        </w:rPr>
        <w:t>月</w:t>
      </w:r>
      <w:r w:rsidRPr="000A4391">
        <w:rPr>
          <w:rFonts w:hint="eastAsia"/>
          <w:color w:val="000000"/>
          <w:kern w:val="0"/>
          <w:lang w:eastAsia="zh-TW"/>
        </w:rPr>
        <w:t>~11</w:t>
      </w:r>
      <w:r w:rsidRPr="000A4391">
        <w:rPr>
          <w:rFonts w:hint="eastAsia"/>
          <w:color w:val="000000"/>
          <w:kern w:val="0"/>
          <w:lang w:eastAsia="zh-TW"/>
        </w:rPr>
        <w:t>月年度計劃進行期間</w:t>
      </w:r>
      <w:r>
        <w:rPr>
          <w:rFonts w:hint="eastAsia"/>
          <w:color w:val="000000"/>
          <w:kern w:val="0"/>
          <w:lang w:eastAsia="zh-TW"/>
        </w:rPr>
        <w:t>由各單位蒐集並評估新</w:t>
      </w:r>
      <w:proofErr w:type="gramStart"/>
      <w:r>
        <w:rPr>
          <w:rFonts w:hint="eastAsia"/>
          <w:color w:val="000000"/>
          <w:kern w:val="0"/>
          <w:lang w:eastAsia="zh-TW"/>
        </w:rPr>
        <w:t>一</w:t>
      </w:r>
      <w:proofErr w:type="gramEnd"/>
      <w:r>
        <w:rPr>
          <w:rFonts w:hint="eastAsia"/>
          <w:color w:val="000000"/>
          <w:kern w:val="0"/>
          <w:lang w:eastAsia="zh-TW"/>
        </w:rPr>
        <w:t>年度之</w:t>
      </w:r>
      <w:r w:rsidRPr="000A4391">
        <w:rPr>
          <w:rFonts w:hint="eastAsia"/>
          <w:color w:val="000000"/>
          <w:kern w:val="0"/>
          <w:lang w:eastAsia="zh-TW"/>
        </w:rPr>
        <w:t>風險項目</w:t>
      </w:r>
      <w:r>
        <w:rPr>
          <w:rFonts w:hint="eastAsia"/>
          <w:color w:val="000000"/>
          <w:kern w:val="0"/>
          <w:lang w:eastAsia="zh-TW"/>
        </w:rPr>
        <w:t>及對策</w:t>
      </w:r>
      <w:r w:rsidR="005D6895">
        <w:rPr>
          <w:rFonts w:hint="eastAsia"/>
          <w:color w:val="000000"/>
          <w:kern w:val="0"/>
          <w:lang w:eastAsia="zh-TW"/>
        </w:rPr>
        <w:t>。</w:t>
      </w:r>
    </w:p>
    <w:p w:rsidR="000A4391" w:rsidRPr="00AA4C0E" w:rsidRDefault="00470DA5" w:rsidP="00AA4C0E">
      <w:pPr>
        <w:pStyle w:val="ad"/>
        <w:numPr>
          <w:ilvl w:val="0"/>
          <w:numId w:val="9"/>
        </w:numPr>
        <w:suppressAutoHyphens w:val="0"/>
        <w:autoSpaceDE w:val="0"/>
        <w:autoSpaceDN w:val="0"/>
        <w:adjustRightInd w:val="0"/>
        <w:ind w:leftChars="0"/>
        <w:jc w:val="both"/>
        <w:rPr>
          <w:color w:val="000000"/>
          <w:kern w:val="0"/>
          <w:lang w:eastAsia="zh-TW"/>
        </w:rPr>
      </w:pPr>
      <w:r w:rsidRPr="00AA4C0E">
        <w:rPr>
          <w:rFonts w:hint="eastAsia"/>
          <w:color w:val="000000"/>
          <w:kern w:val="0"/>
          <w:lang w:eastAsia="zh-TW"/>
        </w:rPr>
        <w:lastRenderedPageBreak/>
        <w:t>本公司「企業永續發展委員會」於</w:t>
      </w:r>
      <w:r w:rsidR="00542DAB">
        <w:rPr>
          <w:rFonts w:hint="eastAsia"/>
          <w:color w:val="000000"/>
          <w:kern w:val="0"/>
          <w:lang w:eastAsia="zh-TW"/>
        </w:rPr>
        <w:t>110</w:t>
      </w:r>
      <w:r w:rsidRPr="00AA4C0E">
        <w:rPr>
          <w:rFonts w:hint="eastAsia"/>
          <w:color w:val="000000"/>
          <w:kern w:val="0"/>
          <w:lang w:eastAsia="zh-TW"/>
        </w:rPr>
        <w:t>年</w:t>
      </w:r>
      <w:r w:rsidRPr="00AA4C0E">
        <w:rPr>
          <w:rFonts w:hint="eastAsia"/>
          <w:color w:val="000000"/>
          <w:kern w:val="0"/>
          <w:lang w:eastAsia="zh-TW"/>
        </w:rPr>
        <w:t>8</w:t>
      </w:r>
      <w:r w:rsidRPr="00AA4C0E">
        <w:rPr>
          <w:rFonts w:hint="eastAsia"/>
          <w:color w:val="000000"/>
          <w:kern w:val="0"/>
          <w:lang w:eastAsia="zh-TW"/>
        </w:rPr>
        <w:t>月</w:t>
      </w:r>
      <w:r w:rsidR="00542DAB">
        <w:rPr>
          <w:rFonts w:hint="eastAsia"/>
          <w:color w:val="000000"/>
          <w:kern w:val="0"/>
          <w:lang w:eastAsia="zh-TW"/>
        </w:rPr>
        <w:t>3</w:t>
      </w:r>
      <w:r w:rsidRPr="00AA4C0E">
        <w:rPr>
          <w:rFonts w:hint="eastAsia"/>
          <w:color w:val="000000"/>
          <w:kern w:val="0"/>
          <w:lang w:eastAsia="zh-TW"/>
        </w:rPr>
        <w:t>日董事會</w:t>
      </w:r>
      <w:r w:rsidR="00004A42">
        <w:rPr>
          <w:rFonts w:hint="eastAsia"/>
          <w:color w:val="000000"/>
          <w:kern w:val="0"/>
          <w:lang w:eastAsia="zh-TW"/>
        </w:rPr>
        <w:t>中</w:t>
      </w:r>
      <w:r w:rsidRPr="00AA4C0E">
        <w:rPr>
          <w:rFonts w:hint="eastAsia"/>
          <w:color w:val="000000"/>
          <w:kern w:val="0"/>
          <w:lang w:eastAsia="zh-TW"/>
        </w:rPr>
        <w:t>報告與公司營運相關之環境、社會、公司治理重大議題及其風險管理之相關運作及執行情形。</w:t>
      </w:r>
      <w:r w:rsidR="00BC1961">
        <w:rPr>
          <w:rFonts w:hint="eastAsia"/>
          <w:color w:val="000000"/>
          <w:kern w:val="0"/>
          <w:lang w:eastAsia="zh-TW"/>
        </w:rPr>
        <w:t xml:space="preserve"> </w:t>
      </w:r>
    </w:p>
    <w:sectPr w:rsidR="000A4391" w:rsidRPr="00AA4C0E" w:rsidSect="00FF349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E03" w:rsidRDefault="00B45E03" w:rsidP="00B45E03">
      <w:r>
        <w:separator/>
      </w:r>
    </w:p>
  </w:endnote>
  <w:endnote w:type="continuationSeparator" w:id="0">
    <w:p w:rsidR="00B45E03" w:rsidRDefault="00B45E03" w:rsidP="00B4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SansCJKtc-Light">
    <w:altName w:val="微軟正黑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TT61975E41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81283"/>
      <w:docPartObj>
        <w:docPartGallery w:val="Page Numbers (Bottom of Page)"/>
        <w:docPartUnique/>
      </w:docPartObj>
    </w:sdtPr>
    <w:sdtEndPr/>
    <w:sdtContent>
      <w:p w:rsidR="00A20FFC" w:rsidRDefault="00BC19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48A" w:rsidRPr="00C6648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20FFC" w:rsidRDefault="00A20F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E03" w:rsidRDefault="00B45E03" w:rsidP="00B45E03">
      <w:r>
        <w:separator/>
      </w:r>
    </w:p>
  </w:footnote>
  <w:footnote w:type="continuationSeparator" w:id="0">
    <w:p w:rsidR="00B45E03" w:rsidRDefault="00B45E03" w:rsidP="00B4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04E17"/>
    <w:multiLevelType w:val="hybridMultilevel"/>
    <w:tmpl w:val="B54A55B6"/>
    <w:lvl w:ilvl="0" w:tplc="54E405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D0E15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5D1FA5"/>
    <w:multiLevelType w:val="hybridMultilevel"/>
    <w:tmpl w:val="8862B2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097259"/>
    <w:multiLevelType w:val="hybridMultilevel"/>
    <w:tmpl w:val="0FDEF8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B978B5"/>
    <w:multiLevelType w:val="hybridMultilevel"/>
    <w:tmpl w:val="1A34BE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4B7231"/>
    <w:multiLevelType w:val="hybridMultilevel"/>
    <w:tmpl w:val="287C8080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4A65376"/>
    <w:multiLevelType w:val="hybridMultilevel"/>
    <w:tmpl w:val="5A54A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E0709A"/>
    <w:multiLevelType w:val="hybridMultilevel"/>
    <w:tmpl w:val="201E5FC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8791D0B"/>
    <w:multiLevelType w:val="hybridMultilevel"/>
    <w:tmpl w:val="14208354"/>
    <w:lvl w:ilvl="0" w:tplc="FE4A0D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E5616A"/>
    <w:multiLevelType w:val="multilevel"/>
    <w:tmpl w:val="DB2CD2E8"/>
    <w:name w:val="099"/>
    <w:lvl w:ilvl="0">
      <w:start w:val="1"/>
      <w:numFmt w:val="taiwaneseCountingThousand"/>
      <w:pStyle w:val="a"/>
      <w:suff w:val="space"/>
      <w:lvlText w:val="(%1)"/>
      <w:lvlJc w:val="left"/>
      <w:pPr>
        <w:ind w:left="709" w:hanging="471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03"/>
    <w:rsid w:val="00000A7D"/>
    <w:rsid w:val="00004A42"/>
    <w:rsid w:val="00040F23"/>
    <w:rsid w:val="00043467"/>
    <w:rsid w:val="00074CD5"/>
    <w:rsid w:val="00082B07"/>
    <w:rsid w:val="00087B38"/>
    <w:rsid w:val="0009607C"/>
    <w:rsid w:val="000A4391"/>
    <w:rsid w:val="000A625E"/>
    <w:rsid w:val="000D3F87"/>
    <w:rsid w:val="000D7C70"/>
    <w:rsid w:val="0011166D"/>
    <w:rsid w:val="00113D0C"/>
    <w:rsid w:val="00115739"/>
    <w:rsid w:val="00115DE8"/>
    <w:rsid w:val="001168B7"/>
    <w:rsid w:val="001A32AB"/>
    <w:rsid w:val="001A41FD"/>
    <w:rsid w:val="00216CC2"/>
    <w:rsid w:val="00223978"/>
    <w:rsid w:val="0029223D"/>
    <w:rsid w:val="002A41F3"/>
    <w:rsid w:val="002A5501"/>
    <w:rsid w:val="002C1648"/>
    <w:rsid w:val="002F3B43"/>
    <w:rsid w:val="00315604"/>
    <w:rsid w:val="003D6B1E"/>
    <w:rsid w:val="00465D51"/>
    <w:rsid w:val="00470DA5"/>
    <w:rsid w:val="0049132D"/>
    <w:rsid w:val="005355C3"/>
    <w:rsid w:val="00542DAB"/>
    <w:rsid w:val="00554C7A"/>
    <w:rsid w:val="00564861"/>
    <w:rsid w:val="005D6895"/>
    <w:rsid w:val="006927BC"/>
    <w:rsid w:val="006C1D5F"/>
    <w:rsid w:val="007406E6"/>
    <w:rsid w:val="00744017"/>
    <w:rsid w:val="007509D6"/>
    <w:rsid w:val="007C2E2E"/>
    <w:rsid w:val="007C4AD4"/>
    <w:rsid w:val="007D284A"/>
    <w:rsid w:val="008277D4"/>
    <w:rsid w:val="008802EE"/>
    <w:rsid w:val="008901CA"/>
    <w:rsid w:val="008D785B"/>
    <w:rsid w:val="00963AED"/>
    <w:rsid w:val="009B4C98"/>
    <w:rsid w:val="009C3518"/>
    <w:rsid w:val="009D2331"/>
    <w:rsid w:val="00A04C33"/>
    <w:rsid w:val="00A14157"/>
    <w:rsid w:val="00A20FFC"/>
    <w:rsid w:val="00A641FD"/>
    <w:rsid w:val="00AA4C0E"/>
    <w:rsid w:val="00B15338"/>
    <w:rsid w:val="00B45E03"/>
    <w:rsid w:val="00B63FA8"/>
    <w:rsid w:val="00B66655"/>
    <w:rsid w:val="00BC1961"/>
    <w:rsid w:val="00BC52E2"/>
    <w:rsid w:val="00BD324E"/>
    <w:rsid w:val="00BE06DD"/>
    <w:rsid w:val="00C00D06"/>
    <w:rsid w:val="00C143D4"/>
    <w:rsid w:val="00C23B4B"/>
    <w:rsid w:val="00C375C9"/>
    <w:rsid w:val="00C40392"/>
    <w:rsid w:val="00C6648A"/>
    <w:rsid w:val="00CA0090"/>
    <w:rsid w:val="00CD4AB0"/>
    <w:rsid w:val="00D12EEE"/>
    <w:rsid w:val="00D50A47"/>
    <w:rsid w:val="00D76393"/>
    <w:rsid w:val="00EC4D24"/>
    <w:rsid w:val="00ED436C"/>
    <w:rsid w:val="00FC5C89"/>
    <w:rsid w:val="00FC7C6F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3D90D6"/>
  <w15:docId w15:val="{EFA73DB3-86B9-4C5B-B5B9-269DE57B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45E03"/>
    <w:pPr>
      <w:widowControl w:val="0"/>
      <w:suppressAutoHyphens/>
    </w:pPr>
    <w:rPr>
      <w:rFonts w:ascii="Times New Roman" w:eastAsia="標楷體" w:hAnsi="Times New Roman" w:cs="Times New Roman"/>
      <w:kern w:val="24"/>
      <w:szCs w:val="24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B45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B45E0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45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45E03"/>
    <w:rPr>
      <w:sz w:val="20"/>
      <w:szCs w:val="20"/>
    </w:rPr>
  </w:style>
  <w:style w:type="paragraph" w:styleId="a8">
    <w:name w:val="Body Text Indent"/>
    <w:aliases w:val="本文縮排5,(一)文縮排,本文縮排1."/>
    <w:basedOn w:val="a0"/>
    <w:link w:val="a9"/>
    <w:rsid w:val="00B45E03"/>
    <w:pPr>
      <w:spacing w:after="120"/>
      <w:ind w:leftChars="200" w:left="480"/>
    </w:pPr>
  </w:style>
  <w:style w:type="character" w:customStyle="1" w:styleId="a9">
    <w:name w:val="本文縮排 字元"/>
    <w:aliases w:val="本文縮排5 字元,(一)文縮排 字元,本文縮排1. 字元"/>
    <w:basedOn w:val="a1"/>
    <w:link w:val="a8"/>
    <w:rsid w:val="00B45E03"/>
    <w:rPr>
      <w:rFonts w:ascii="Times New Roman" w:eastAsia="標楷體" w:hAnsi="Times New Roman" w:cs="Times New Roman"/>
      <w:kern w:val="24"/>
      <w:szCs w:val="24"/>
      <w:lang w:eastAsia="ar-SA"/>
    </w:rPr>
  </w:style>
  <w:style w:type="table" w:styleId="aa">
    <w:name w:val="Table Grid"/>
    <w:basedOn w:val="a2"/>
    <w:rsid w:val="00B45E03"/>
    <w:pPr>
      <w:widowControl w:val="0"/>
      <w:suppressAutoHyphens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中標題"/>
    <w:rsid w:val="00B45E03"/>
    <w:pPr>
      <w:numPr>
        <w:numId w:val="1"/>
      </w:numPr>
      <w:spacing w:before="120"/>
    </w:pPr>
    <w:rPr>
      <w:rFonts w:ascii="Times New Roman" w:eastAsia="標楷體" w:hAnsi="Times New Roman" w:cs="Times New Roman"/>
      <w:kern w:val="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D76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76393"/>
    <w:rPr>
      <w:rFonts w:asciiTheme="majorHAnsi" w:eastAsiaTheme="majorEastAsia" w:hAnsiTheme="majorHAnsi" w:cstheme="majorBidi"/>
      <w:kern w:val="24"/>
      <w:sz w:val="18"/>
      <w:szCs w:val="18"/>
      <w:lang w:eastAsia="ar-SA"/>
    </w:rPr>
  </w:style>
  <w:style w:type="paragraph" w:customStyle="1" w:styleId="Default">
    <w:name w:val="Default"/>
    <w:rsid w:val="001157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List Paragraph"/>
    <w:basedOn w:val="a0"/>
    <w:uiPriority w:val="34"/>
    <w:qFormat/>
    <w:rsid w:val="00CD4A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203</Words>
  <Characters>1163</Characters>
  <Application>Microsoft Office Word</Application>
  <DocSecurity>0</DocSecurity>
  <Lines>9</Lines>
  <Paragraphs>2</Paragraphs>
  <ScaleCrop>false</ScaleCrop>
  <Company>SASWAFER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</dc:creator>
  <cp:lastModifiedBy>Jessy.Yang(楊婷喻)</cp:lastModifiedBy>
  <cp:revision>4</cp:revision>
  <cp:lastPrinted>2021-03-11T08:21:00Z</cp:lastPrinted>
  <dcterms:created xsi:type="dcterms:W3CDTF">2021-12-14T05:46:00Z</dcterms:created>
  <dcterms:modified xsi:type="dcterms:W3CDTF">2021-12-14T08:08:00Z</dcterms:modified>
</cp:coreProperties>
</file>